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074D2" w14:textId="4CA36C5F" w:rsidR="005F4B8D" w:rsidRPr="000B1B8E" w:rsidRDefault="005F4B8D" w:rsidP="000B1B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0B1B8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DataCities in Practice</w:t>
      </w:r>
      <w:r w:rsidR="00460383" w:rsidRPr="000B1B8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during 2024</w:t>
      </w:r>
      <w:r w:rsidRPr="000B1B8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– Linking Data Analytics to Routine City Decisions &amp; Policymaking: A case of Property &amp; Street Parking Revenue Mobilization in Fort Portal City, Uganda</w:t>
      </w:r>
    </w:p>
    <w:p w14:paraId="0F269023" w14:textId="7E91B0A1" w:rsidR="005520CC" w:rsidRPr="00E453C1" w:rsidRDefault="005520CC" w:rsidP="002041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By Johnstone Baguma &amp; Kellen Kanyunyuzi</w:t>
      </w:r>
      <w:r w:rsidR="00C60E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(January 2025)</w:t>
      </w:r>
    </w:p>
    <w:p w14:paraId="55312C5F" w14:textId="0993991C" w:rsidR="00CA3B1F" w:rsidRPr="00737611" w:rsidRDefault="00737611" w:rsidP="007376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1. </w:t>
      </w:r>
      <w:r w:rsidR="00CA3B1F" w:rsidRPr="00737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Introduction</w:t>
      </w:r>
    </w:p>
    <w:p w14:paraId="144279AA" w14:textId="3302B028" w:rsidR="00473351" w:rsidRPr="001D483D" w:rsidRDefault="00E34547" w:rsidP="00CA32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In today’s fast-paced </w:t>
      </w:r>
      <w:r w:rsidR="00C70402"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digital</w:t>
      </w:r>
      <w:r w:rsidR="00C7040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ized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world, </w:t>
      </w:r>
      <w:r w:rsidR="009F7F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generated 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data</w:t>
      </w:r>
      <w:r w:rsidR="009F7F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resources and data analytics supported by artificial intelligence (AI) capabilities, are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transforming the way cities engage</w:t>
      </w:r>
      <w:r w:rsidR="005F4B8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residents, plan and govern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5F4B8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 urbanization development process</w:t>
      </w:r>
      <w:r w:rsidR="00B92F6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B92F60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F70A24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Ferhati et al., 2024</w:t>
      </w:r>
      <w:r w:rsidR="00CA3239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Almaz et al., 2024; Herath</w:t>
      </w:r>
      <w:r w:rsidR="00E37A6C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&amp; Mitta</w:t>
      </w:r>
      <w:r w:rsidR="00A42E19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</w:t>
      </w:r>
      <w:r w:rsidR="00E37A6C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CA3239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2022</w:t>
      </w:r>
      <w:r w:rsidR="00B92F60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Fort P</w:t>
      </w:r>
      <w:r w:rsidR="0020415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ortal</w:t>
      </w:r>
      <w:r w:rsidR="005F4B8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is one of the newest cities focused o</w:t>
      </w:r>
      <w:r w:rsidR="00C7040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5F4B8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developing as a tourists’ hub in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Uganda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committed to piloting a few </w:t>
      </w:r>
      <w:r w:rsidR="00003932" w:rsidRPr="0000393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data</w:t>
      </w:r>
      <w:r w:rsidR="00FE146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&amp; AI</w:t>
      </w:r>
      <w:r w:rsidR="00003932" w:rsidRPr="0000393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use cases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pursuit of this dream</w:t>
      </w:r>
      <w:r w:rsidR="005F4B8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 example, the city authorit</w:t>
      </w:r>
      <w:r w:rsidR="00E472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 is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harnessing the power of data</w:t>
      </w:r>
      <w:r w:rsidR="00C7040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and</w:t>
      </w:r>
      <w:r w:rsidR="00E472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desires to</w:t>
      </w:r>
      <w:r w:rsidR="00E963C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optimize</w:t>
      </w:r>
      <w:r w:rsidR="00C7040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AI capabilities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through the </w:t>
      </w:r>
      <w:r w:rsidRPr="0000393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Integrated Revenue Administration System (IRAS)</w:t>
      </w:r>
      <w:r w:rsidRPr="00B92F6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D483D" w:rsidRPr="001D48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 core strength of IRAS lies in its ability to streamline and automate critical processes such as taxpayer registration, property assessments, and revenue collection. Before th</w:t>
      </w:r>
      <w:r w:rsidR="003062C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is</w:t>
      </w:r>
      <w:r w:rsidR="001D483D" w:rsidRPr="001D48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system was implemented, the city's revenue collection was often manual, time-consuming, and prone to errors. By digitizing these functions, Fort Portal City has unlocked a new </w:t>
      </w:r>
      <w:r w:rsidR="003062C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sphere</w:t>
      </w:r>
      <w:r w:rsidR="001D483D" w:rsidRPr="001D48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</w:t>
      </w:r>
      <w:r w:rsidR="003062C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data use for</w:t>
      </w:r>
      <w:r w:rsidR="001D483D" w:rsidRPr="001D48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transparency and efficiency in managing its property revenue generation</w:t>
      </w:r>
      <w:r w:rsidR="001D483D" w:rsidRPr="001D48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in particular</w:t>
      </w:r>
      <w:r w:rsidR="001D483D" w:rsidRPr="001D48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527B463" w14:textId="31C4192E" w:rsidR="00E34547" w:rsidRPr="009815E0" w:rsidRDefault="00E34547" w:rsidP="000558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This dynamic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digital data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platform is more than just</w:t>
      </w:r>
      <w:r w:rsidR="00FA2AE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tool for collecting </w:t>
      </w:r>
      <w:r w:rsidR="009F7F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local </w:t>
      </w:r>
      <w:r w:rsidR="00FA2AE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revenue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4733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According to the DataCities assessment of the facility,</w:t>
      </w:r>
      <w:r w:rsidR="00FA2AE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it was found to </w:t>
      </w:r>
      <w:r w:rsidR="009F7F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r w:rsidR="00A9741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considerable</w:t>
      </w:r>
      <w:r w:rsidR="00FA2AE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untapped </w:t>
      </w:r>
      <w:r w:rsidR="009F7F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potential to 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support evidence-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informed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rapid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decision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s,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local tax policymaking</w:t>
      </w:r>
      <w:r w:rsidR="000039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stakeholders’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engagement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mobilization for increased</w:t>
      </w:r>
      <w:r w:rsidR="002E432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awareness on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city</w:t>
      </w:r>
      <w:r w:rsidR="00DC232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’s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economic resilience</w:t>
      </w:r>
      <w:r w:rsidR="009F7F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if optimized well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By 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optimizing IRAS’ performance through </w:t>
      </w:r>
      <w:r w:rsidR="008164AA" w:rsidRPr="00FB7A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instituting data integrity standards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00233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real-time d</w:t>
      </w:r>
      <w:r w:rsidR="00923B4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ata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and </w:t>
      </w:r>
      <w:r w:rsidR="00B422AB" w:rsidRPr="005B789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AI capabilities</w:t>
      </w:r>
      <w:r w:rsidR="000023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="0000233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integration</w:t>
      </w:r>
      <w:r w:rsidR="00923B4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into 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city revenue </w:t>
      </w:r>
      <w:r w:rsidR="009874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governance</w:t>
      </w:r>
      <w:r w:rsidR="00B422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and </w:t>
      </w:r>
      <w:r w:rsidR="009874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management</w:t>
      </w:r>
      <w:r w:rsidR="00923B4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the city will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not only </w:t>
      </w:r>
      <w:r w:rsidR="009C5C52"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 streamlining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administrative processes</w:t>
      </w:r>
      <w:r w:rsidR="000E2A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but also ensuring that decisions are based on accurate, up-to-date information that </w:t>
      </w:r>
      <w:r w:rsidR="00FA2AE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benefits everyone 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from residents</w:t>
      </w:r>
      <w:r w:rsidR="000E2A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utility service providers/stakeholders</w:t>
      </w:r>
      <w:r w:rsidRPr="00E345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policymakers</w:t>
      </w:r>
      <w:r w:rsidR="00710C7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710C7C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05586D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Huang et al., 2023; </w:t>
      </w:r>
      <w:r w:rsidR="005B4ABF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PcW, 2024</w:t>
      </w:r>
      <w:r w:rsidR="00710C7C"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Pr="00981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BC9FC01" w14:textId="5C955F46" w:rsidR="00D84E97" w:rsidRPr="00DE4CD6" w:rsidRDefault="00DE4CD6" w:rsidP="00DE4C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2. </w:t>
      </w:r>
      <w:r w:rsidR="00D84E97" w:rsidRPr="00DE4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Background of DataCities</w:t>
      </w:r>
      <w:r w:rsidR="00F41BCE" w:rsidRPr="00DE4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Program</w:t>
      </w:r>
      <w:r w:rsidR="00D84E97" w:rsidRPr="00DE4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5E74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and the </w:t>
      </w:r>
      <w:r w:rsidR="00D84E97" w:rsidRPr="00DE4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Engagement with Fort Portal City Revenue</w:t>
      </w:r>
      <w:r w:rsidR="00774124" w:rsidRPr="00DE4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Mobilization </w:t>
      </w:r>
      <w:r w:rsidR="00D84E97" w:rsidRPr="00DE4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Department</w:t>
      </w:r>
    </w:p>
    <w:p w14:paraId="18E945D4" w14:textId="6E027223" w:rsidR="00C32B06" w:rsidRDefault="006E0272" w:rsidP="006E02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The history of the DataCities program</w:t>
      </w:r>
      <w:r w:rsidR="00111CD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interventions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11CD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can be traced</w:t>
      </w:r>
      <w:r w:rsidR="001853A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back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from </w:t>
      </w:r>
      <w:r w:rsidR="006C1A5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ToroDev’s research work on baselining </w:t>
      </w:r>
      <w:r w:rsidR="006C1A5B" w:rsidRPr="003B28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urban data governance</w:t>
      </w:r>
      <w:r w:rsidR="006C1A5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Uganda’s new cities </w:t>
      </w:r>
      <w:r w:rsidR="006C1A5B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(Baguma &amp; Muhumuza, 2023)</w:t>
      </w:r>
      <w:r w:rsidR="009E2CB1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9E2CB1" w:rsidRPr="000F7C1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as the first project within the </w:t>
      </w:r>
      <w:r w:rsidR="009E2CB1" w:rsidRPr="000F7C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“Data and Evidence-Informed Policymaking for Improved Urbanization in Uganda”</w:t>
      </w:r>
      <w:r w:rsidR="009E2CB1" w:rsidRPr="000F7C1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program strategy (2021-2026)</w:t>
      </w:r>
      <w:r w:rsidR="006C1A5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F36F8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Several </w:t>
      </w:r>
      <w:r w:rsidR="00C153B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recommendations</w:t>
      </w:r>
      <w:r w:rsidR="00F36F8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were made in the above study to support practical and resilient data systems in strategic</w:t>
      </w:r>
      <w:r w:rsidR="00A263D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F36F8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pilot cities of Jinja and Fort Portal, located in Uganda’s eastern and western regions, respectively</w:t>
      </w:r>
      <w:r w:rsidR="000F78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0F7832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0418B2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World Ba</w:t>
      </w:r>
      <w:r w:rsidR="00CF3060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0418B2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k, 2023; </w:t>
      </w:r>
      <w:r w:rsidR="000F7832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NPA, 202</w:t>
      </w:r>
      <w:r w:rsidR="00E67892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</w:t>
      </w:r>
      <w:r w:rsidR="000F7832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F36F8C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851CCD" w:rsidRP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32B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</w:t>
      </w:r>
      <w:hyperlink r:id="rId5" w:history="1">
        <w:r w:rsidR="00C32B06" w:rsidRPr="009D512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DataCities Consortium</w:t>
        </w:r>
      </w:hyperlink>
      <w:r w:rsidR="00C32B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(ToroDev, </w:t>
      </w:r>
      <w:hyperlink r:id="rId6" w:history="1">
        <w:r w:rsidR="00C32B06" w:rsidRPr="00823EC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Sunbird AI</w:t>
        </w:r>
      </w:hyperlink>
      <w:r w:rsidR="00C32B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and </w:t>
      </w:r>
      <w:hyperlink r:id="rId7" w:history="1">
        <w:r w:rsidR="00C32B06" w:rsidRPr="00823EC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UN Global Pulse</w:t>
        </w:r>
      </w:hyperlink>
      <w:r w:rsidR="00C32B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 are implementing the eight years’ program</w:t>
      </w:r>
      <w:r w:rsidR="003C2B6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with support from the US-based </w:t>
      </w:r>
      <w:hyperlink r:id="rId8" w:history="1">
        <w:r w:rsidR="003C2B6C" w:rsidRPr="003C2B6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Hewlett Foundation</w:t>
        </w:r>
      </w:hyperlink>
      <w:r w:rsidR="003C2B6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C32B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partnership with the above two city authorities in Uganda.</w:t>
      </w:r>
    </w:p>
    <w:p w14:paraId="33D0B5FD" w14:textId="63C17D62" w:rsidR="00652095" w:rsidRDefault="00652095" w:rsidP="006E02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Key areas of tourism, revenue mobilization and public health/waste management were </w:t>
      </w:r>
      <w:r w:rsidR="009E2D6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discussed 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agreed on</w:t>
      </w:r>
      <w:r w:rsidR="00EB45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F0276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by the</w:t>
      </w:r>
      <w:r w:rsidR="00EB45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two cities</w:t>
      </w:r>
      <w:r w:rsidR="00851B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November 2023</w:t>
      </w:r>
      <w:r w:rsidR="0097108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This was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at the end of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knowledge exchange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visit by city authority leaders from Jinja and Fort Portal, to some of the key South African cities (Cape Town, Durban and Johannesburg)</w:t>
      </w:r>
      <w:r w:rsidR="008A5A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identified to have taken considerable strides in dedicated data governance and management for efficient urban development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DE127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127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ToroDev, under its </w:t>
      </w:r>
      <w:hyperlink r:id="rId9" w:history="1">
        <w:r w:rsidR="006127A7" w:rsidRPr="009D512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Open Data Analytics (ODA)</w:t>
        </w:r>
      </w:hyperlink>
      <w:r w:rsidR="006127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initiative, organized th</w:t>
      </w:r>
      <w:r w:rsidR="00DF16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is</w:t>
      </w:r>
      <w:r w:rsidR="006127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cities’ knowledge exchange visit within the DataCities program implementation framework</w:t>
      </w:r>
      <w:r w:rsidR="00DF16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November 2023.</w:t>
      </w:r>
      <w:r w:rsidR="00DE127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A680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Further, the knowledge exchange visit</w:t>
      </w:r>
      <w:r w:rsidR="008158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yielded into a</w:t>
      </w:r>
      <w:r w:rsidR="007838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realization</w:t>
      </w:r>
      <w:r w:rsidR="008158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 the need to</w:t>
      </w:r>
      <w:r w:rsidR="00B9572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8158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support</w:t>
      </w:r>
      <w:r w:rsidR="00B9572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the two pilot cities</w:t>
      </w:r>
      <w:r w:rsidR="008158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build</w:t>
      </w:r>
      <w:r w:rsidR="007838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context-specific</w:t>
      </w:r>
      <w:r w:rsidR="008158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City Data Governance Frameworks.</w:t>
      </w:r>
    </w:p>
    <w:p w14:paraId="7BCBAD2C" w14:textId="52C0CA7F" w:rsidR="004D46A0" w:rsidRPr="00DE4CD6" w:rsidRDefault="006229C5" w:rsidP="00DE4CD6">
      <w:pPr>
        <w:pStyle w:val="ListParagraph"/>
        <w:numPr>
          <w:ilvl w:val="1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DE4C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The Need to Improve </w:t>
      </w:r>
      <w:r w:rsidR="004D46A0" w:rsidRPr="00DE4C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City Property Tax Revenue through IRAS Data Optimization </w:t>
      </w:r>
    </w:p>
    <w:p w14:paraId="6E7D3748" w14:textId="18F6C52A" w:rsidR="00CD52EE" w:rsidRDefault="00C04AF9" w:rsidP="006E02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In the second quarter of 2024, </w:t>
      </w:r>
      <w:r w:rsidR="0038580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ToroDev-ODA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commissioned</w:t>
      </w:r>
      <w:r w:rsidR="0038580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several engagements with city authorities (Data Steering Committees) to co-create a city data governance framework for Fort Portal City, facilitated by a South African think-tank, the </w:t>
      </w:r>
      <w:hyperlink r:id="rId10" w:history="1">
        <w:r w:rsidR="0038580F" w:rsidRPr="00F365B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Open Cities Lab (OCL)</w:t>
        </w:r>
      </w:hyperlink>
      <w:r w:rsidR="00B85A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A524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It is at this point that t</w:t>
      </w:r>
      <w:r w:rsidR="00B85A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he Fort Portal City authorities</w:t>
      </w:r>
      <w:r w:rsidR="0038580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deemed necessary to employ a </w:t>
      </w:r>
      <w:r w:rsidR="0038580F" w:rsidRPr="003858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“data-use case”</w:t>
      </w:r>
      <w:r w:rsidR="0038580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approach to developing a sustainable framework.</w:t>
      </w:r>
      <w:r w:rsidR="00062C0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The revenue department of the cit</w:t>
      </w:r>
      <w:r w:rsidR="00A524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</w:t>
      </w:r>
      <w:r w:rsidR="00062C0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particularly observed that property tax generation was extremely underperforming at</w:t>
      </w:r>
      <w:r w:rsidR="00B93C9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collection of</w:t>
      </w:r>
      <w:r w:rsidR="00062C0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only</w:t>
      </w:r>
      <w:r w:rsidR="003775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23% of the target</w:t>
      </w:r>
      <w:r w:rsidR="0008706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revenue</w:t>
      </w:r>
      <w:r w:rsidR="003775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the 2023/2</w:t>
      </w:r>
      <w:r w:rsidR="009D17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3775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fi</w:t>
      </w:r>
      <w:r w:rsidR="00D053B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nancial</w:t>
      </w:r>
      <w:r w:rsidR="003775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year</w:t>
      </w:r>
      <w:r w:rsidR="009913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and, therefore, could be an urgent data use case to model</w:t>
      </w:r>
      <w:r w:rsidR="003775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4A5F5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The city revenue department committed to work with the DataCities program to improve the performance of property tax revenue mobilization </w:t>
      </w:r>
      <w:r w:rsidR="007621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up to</w:t>
      </w:r>
      <w:r w:rsidR="004A5F5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least 60% by the end of the 2024/25 </w:t>
      </w:r>
      <w:r w:rsidR="0028242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financial</w:t>
      </w:r>
      <w:r w:rsidR="004A5F5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year. </w:t>
      </w:r>
      <w:r w:rsidR="00062C0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A46692C" w14:textId="44BB6938" w:rsidR="0038580F" w:rsidRDefault="00CD52EE" w:rsidP="006E02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Further, at </w:t>
      </w:r>
      <w:r w:rsidR="00697B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</w:t>
      </w:r>
      <w:r w:rsidR="0012607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="00697B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stage</w:t>
      </w:r>
      <w:r w:rsidR="007B37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 city data governance framework co-creation</w:t>
      </w:r>
      <w:r w:rsidR="00697B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several areas of data access and use improvement were identified, ranging from current revenue data analysis, setting </w:t>
      </w:r>
      <w:r w:rsidR="00697B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quality revenue data standards and quality assurance team,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updating of the property revenue register, deployment of the mobile platform for property revenue data and digital engagement of taxpayers/stakeholders</w:t>
      </w:r>
      <w:r w:rsidR="003759A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among others.</w:t>
      </w:r>
      <w:r w:rsidR="00697B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A5A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</w:p>
    <w:p w14:paraId="49D898D6" w14:textId="1FFCDDDF" w:rsidR="003B0E08" w:rsidRPr="00737611" w:rsidRDefault="00737611" w:rsidP="007376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3. </w:t>
      </w:r>
      <w:r w:rsidR="00CA44E7" w:rsidRPr="00737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DataCities’ </w:t>
      </w:r>
      <w:r w:rsidR="003B0E08" w:rsidRPr="00737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Current </w:t>
      </w:r>
      <w:r w:rsidR="00CC1ADF" w:rsidRPr="00737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and Future Works to Support Property and Street Parking Revenue Enhancement through IRAS Data Optimization in Fort Portal City</w:t>
      </w:r>
    </w:p>
    <w:p w14:paraId="3942EAF1" w14:textId="2E0AA02E" w:rsidR="003276AA" w:rsidRDefault="003276AA" w:rsidP="003276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By the end of December 2024, </w:t>
      </w:r>
      <w:r w:rsidR="00EA5A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we (DataCities Program</w:t>
      </w:r>
      <w:r w:rsidR="00764E7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r w:rsidR="00EA5A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Consortium) have worked with the City’s Revenue departments to analyze the IRAS datasets and identified opportunities and challenges </w:t>
      </w:r>
      <w:r w:rsidR="00AE70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to consolidate and address </w:t>
      </w:r>
      <w:r w:rsidR="00EA5A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improvement</w:t>
      </w:r>
      <w:r w:rsidR="00AE70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</w:t>
      </w:r>
      <w:r w:rsidR="004F756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the</w:t>
      </w:r>
      <w:r w:rsidR="003877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coming</w:t>
      </w:r>
      <w:r w:rsidR="004F756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year</w:t>
      </w:r>
      <w:r w:rsidR="00AE70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2025</w:t>
      </w:r>
      <w:r w:rsidR="00EA5A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555CEAA" w14:textId="6DDE136B" w:rsidR="00F25816" w:rsidRDefault="00F25816" w:rsidP="003276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 joint data analytics team was established with members from the city</w:t>
      </w:r>
      <w:r w:rsidR="000F479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’s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</w:t>
      </w:r>
      <w:r w:rsidR="00B263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 department and the DataCities Consortium. This team analyzed the property revenue datasets and was able to produce a report</w:t>
      </w:r>
      <w:r w:rsidR="00090B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November 2024. </w:t>
      </w:r>
      <w:r w:rsidR="0087699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 joint meeting</w:t>
      </w:r>
      <w:r w:rsidR="00B97DD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 Fort Portal city technocrats and policy makers</w:t>
      </w:r>
      <w:r w:rsidR="008713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(city executive and council members)</w:t>
      </w:r>
      <w:r w:rsidR="000F140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 one side, and DataCities Consortium on the other side,</w:t>
      </w:r>
      <w:r w:rsidR="0087699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was convened on December 19</w:t>
      </w:r>
      <w:r w:rsidR="0087699C" w:rsidRPr="0087699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="0087699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2024 and several observations and resolutions were made by the city authority,</w:t>
      </w:r>
      <w:r w:rsidR="006B04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aimed at improving property revenue up to 60% of targeted projections</w:t>
      </w:r>
      <w:r w:rsidR="006D6B0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by the end of the 2024/25 fi</w:t>
      </w:r>
      <w:r w:rsidR="00EF154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nancial</w:t>
      </w:r>
      <w:r w:rsidR="006D6B0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year</w:t>
      </w:r>
      <w:r w:rsidR="006B04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Key resolutions and plans include;</w:t>
      </w:r>
    </w:p>
    <w:p w14:paraId="70622BD6" w14:textId="1939B1B6" w:rsidR="006B04E6" w:rsidRDefault="003759A9" w:rsidP="006B04E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Support Fueless Ltd</w:t>
      </w:r>
      <w:r w:rsidR="004944F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(Fort Portal City contractor)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work with DataCities team to complete the updating of the Property Tax Register/Database</w:t>
      </w:r>
      <w:r w:rsidR="00CE38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that was discovered to be outdated or missing some dataset attributes after the team’s </w:t>
      </w:r>
      <w:r w:rsidR="00E47B4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dedicated</w:t>
      </w:r>
      <w:r w:rsidR="00CE388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analysis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9810D12" w14:textId="4F801B37" w:rsidR="003759A9" w:rsidRDefault="004A3CFF" w:rsidP="006B04E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Extension of the Fueless Ltd contract with the Fort Portal City Authority, in order to legally facilitate the </w:t>
      </w:r>
      <w:r w:rsidR="00F46EE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updating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 the Prop</w:t>
      </w:r>
      <w:r w:rsidR="0002084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rty Tax revenue register</w:t>
      </w:r>
    </w:p>
    <w:p w14:paraId="4E3E30EA" w14:textId="00860191" w:rsidR="004A3CFF" w:rsidRDefault="006B0FD6" w:rsidP="006B04E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Set up the Data Quality Assurance Team with clear terms of reference and work closely with the DataCities program team on quarterly reporting</w:t>
      </w:r>
      <w:r w:rsidR="007D0B5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City TPC-Technical Planning Committee and Executive.</w:t>
      </w:r>
    </w:p>
    <w:p w14:paraId="24550290" w14:textId="2300DDFD" w:rsidR="006B0FD6" w:rsidRDefault="00EF3F24" w:rsidP="006B04E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</w:t>
      </w:r>
      <w:r w:rsidR="0039516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Property Revenue</w:t>
      </w:r>
      <w:r w:rsidR="00A305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Data</w:t>
      </w:r>
      <w:r w:rsidR="0039516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Q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uality </w:t>
      </w:r>
      <w:r w:rsidR="0039516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ssurance </w:t>
      </w:r>
      <w:r w:rsidR="0039516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eam </w:t>
      </w:r>
      <w:r w:rsidR="002026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set up data validation guidelines/rules and carryout quarterly data audits throughout 2025.</w:t>
      </w:r>
    </w:p>
    <w:p w14:paraId="589F14DE" w14:textId="465756FB" w:rsidR="00EF3F24" w:rsidRDefault="002139CB" w:rsidP="006B04E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Amend contracts of service providers (Property Tax and Street Parking Revenue) to include closes on updating tools of data collection</w:t>
      </w:r>
    </w:p>
    <w:p w14:paraId="1030F9B0" w14:textId="3EE4A3AF" w:rsidR="007D0C58" w:rsidRDefault="007D0C58" w:rsidP="006B04E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 Property Revenue Data</w:t>
      </w:r>
      <w:r w:rsidR="0039516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Quality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Assurance Team to set up KPIs – Key Performance Indicators to guide the data generation and use for efficient revenue mobilization</w:t>
      </w:r>
      <w:r w:rsidR="001267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which will be monitored on quarterly basis, supported by the DataCities Program team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F47517A" w14:textId="71CF77E0" w:rsidR="007D0C58" w:rsidRDefault="000C3180" w:rsidP="006B04E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Support the piloting of the Mobile Data Cleaning digital tool for Property Revenue in at least three (3) wards per Division of Fort Portal City.</w:t>
      </w:r>
    </w:p>
    <w:p w14:paraId="76A3E564" w14:textId="521A8878" w:rsidR="00010DAB" w:rsidRDefault="00010DAB" w:rsidP="006B04E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Intensify residents and stakeholders</w:t>
      </w:r>
      <w:r w:rsidR="002563D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sensitization on the importance of Property Revenue Mobilization for the city using social media, broadcast media and workshops.</w:t>
      </w:r>
    </w:p>
    <w:p w14:paraId="31B4DF42" w14:textId="2E08DCB4" w:rsidR="002563DE" w:rsidRDefault="0005294C" w:rsidP="00E67892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Physically and digitally map/mark all streets for efficient parking with clear demarcations/lots</w:t>
      </w:r>
      <w:r w:rsidR="00E0481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 all tarmacked roads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1DCC87F" w14:textId="22F7E912" w:rsidR="000C6BC7" w:rsidRDefault="00B51D43" w:rsidP="00E67892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Consider termination of</w:t>
      </w:r>
      <w:r w:rsidR="003E7C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current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street parking </w:t>
      </w:r>
      <w:r w:rsidR="001C04B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contract due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non-remittance of funds to the city and use cleaned dataset to award new contract to the successful service provider</w:t>
      </w:r>
      <w:r w:rsidR="000C6B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3119979" w14:textId="50685DE3" w:rsidR="000C6BC7" w:rsidRPr="001C04BC" w:rsidRDefault="00EF5DE7" w:rsidP="00E678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C0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4</w:t>
      </w:r>
      <w:r w:rsidR="000C6BC7" w:rsidRPr="001C0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. Conclusion</w:t>
      </w:r>
    </w:p>
    <w:p w14:paraId="7591EE22" w14:textId="0A61FF53" w:rsidR="000313F8" w:rsidRPr="00E75439" w:rsidRDefault="000313F8" w:rsidP="00E678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Fort Portal City’s journey toward becoming a data-driven and smart city is just beginning. The lessons learned and the innovations implemented through IRAS will benefit </w:t>
      </w:r>
      <w:r w:rsidR="0077178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all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city’s residents. As the city continues</w:t>
      </w:r>
      <w:r w:rsidR="00090D0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express willingness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refine its 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structural and digital 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systems 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by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ad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pt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ing to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new technologies,</w:t>
      </w:r>
      <w:r w:rsidR="009A1E2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it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is poised to lead the way </w:t>
      </w:r>
      <w:r w:rsidR="00FD6A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creating smarter,</w:t>
      </w:r>
      <w:r w:rsidR="001B746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digitalized</w:t>
      </w:r>
      <w:r w:rsidR="00DB35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more sustainable urban environments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Uganda, the region and Africa continent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By embracing the power of data</w:t>
      </w:r>
      <w:r w:rsidR="00815FAD"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and AI capabilities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815FAD"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AD529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ity is not just improving governance</w:t>
      </w:r>
      <w:r w:rsidR="00815FAD"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but also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building a future where </w:t>
      </w:r>
      <w:r w:rsidR="00815FAD"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urban 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decisions</w:t>
      </w:r>
      <w:r w:rsidR="00815FAD"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and policies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are informed by facts, resources are allocated effectively</w:t>
      </w:r>
      <w:r w:rsidR="000403E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and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815FAD"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where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residents</w:t>
      </w:r>
      <w:r w:rsidR="00815FAD"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and stakeholders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have an opportunity to thrive</w:t>
      </w:r>
      <w:r w:rsidR="00815FAD"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equitably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As the </w:t>
      </w:r>
      <w:r w:rsidR="005446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“citification”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moves forward, </w:t>
      </w:r>
      <w:r w:rsidR="004A188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Fort Portal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760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needs 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invites </w:t>
      </w:r>
      <w:r w:rsidR="009A236B"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collaborators, partners and investors</w:t>
      </w:r>
      <w:r w:rsidRPr="00E754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join in this exciting journey toward a data-driven, transparent, and prosperous future.</w:t>
      </w:r>
    </w:p>
    <w:p w14:paraId="558F6ACD" w14:textId="2807CF37" w:rsidR="00C81124" w:rsidRDefault="009A236B" w:rsidP="00C811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Particularly, p</w:t>
      </w:r>
      <w:r w:rsidR="000B7B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roperty and Street Parking revenue are among the key sources of economic sustainability for the emerging cities in Uganda like Fort Portal</w:t>
      </w:r>
      <w:r w:rsidR="00011E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These two areas</w:t>
      </w:r>
      <w:r w:rsidR="00AB721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if well organized and data and AI are used to optimize their performance, they can generate high potential for the city’s resilience</w:t>
      </w:r>
      <w:r w:rsidR="00BA444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support improved service delivery</w:t>
      </w:r>
      <w:r w:rsidR="00AB721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5618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Efficient Data and AI </w:t>
      </w:r>
      <w:r w:rsidR="004A188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</w:t>
      </w:r>
      <w:r w:rsidR="005618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overnance and </w:t>
      </w:r>
      <w:r w:rsidR="004A188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</w:t>
      </w:r>
      <w:r w:rsidR="005618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anagement processes, including the setting up of effective data and AI technology</w:t>
      </w:r>
      <w:r w:rsidR="00DA394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infrastructure</w:t>
      </w:r>
      <w:r w:rsidR="005618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implementation and oversight structures, functions, guidelines and standards</w:t>
      </w:r>
      <w:r w:rsidR="00D809C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among others,</w:t>
      </w:r>
      <w:r w:rsidR="005618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can be a step in the right direction. Moreover, effective data analytics (descriptive, diagnostic, prescriptive and predictive) targeting to address and/or respond to specific co-created KPIs within an emerging cit</w:t>
      </w:r>
      <w:r w:rsidR="0000098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ies</w:t>
      </w:r>
      <w:r w:rsidR="005618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like Uganda’s Fort Portal, may also be an added advantage to support efficient routine complex urban decisions and policymaking process. The DataCities Program commits to pursuing </w:t>
      </w:r>
      <w:r w:rsidR="00F50F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above ideals in </w:t>
      </w:r>
      <w:r w:rsidR="0000098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</w:t>
      </w:r>
      <w:r w:rsidR="00F50F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year 2025 together with the City Authority</w:t>
      </w:r>
      <w:r w:rsidR="00FC795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 Fort Portal.</w:t>
      </w:r>
    </w:p>
    <w:p w14:paraId="73B872A3" w14:textId="77777777" w:rsidR="00EE043A" w:rsidRPr="00EE043A" w:rsidRDefault="00EE043A" w:rsidP="000C6B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E04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5. References</w:t>
      </w:r>
    </w:p>
    <w:p w14:paraId="41D0EAC4" w14:textId="77777777" w:rsidR="00F96552" w:rsidRDefault="00C81124" w:rsidP="00C811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694C2B" w:rsidRP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Almaz, A. F., El-Agouz, E. a. E., Abdelfatah, M. T., &amp; Mohamed, I. R. (2024). The</w:t>
      </w:r>
      <w:r w:rsid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94C2B" w:rsidRP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Future Role of</w:t>
      </w:r>
      <w:r w:rsid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94C2B" w:rsidRP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Artificial Intelligence (AI) Design’s Integration into Architectural and Interior Design Education</w:t>
      </w:r>
      <w:r w:rsid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94C2B" w:rsidRP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to Improve Efficiency, Sustainability, and Creativity. Civil Engineering and Architecture,</w:t>
      </w:r>
      <w:r w:rsid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94C2B" w:rsidRP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12(3), 1749–1772. </w:t>
      </w:r>
      <w:hyperlink r:id="rId11" w:history="1">
        <w:r w:rsidR="00694C2B" w:rsidRPr="00A2111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https://doi.org/10.13189/cea.2024.120336</w:t>
        </w:r>
      </w:hyperlink>
      <w:r w:rsidR="00694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E378013" w14:textId="77777777" w:rsidR="00F96552" w:rsidRDefault="00F96552" w:rsidP="00C811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E7CA4A" w14:textId="68425A56" w:rsidR="00F96552" w:rsidRPr="00F96552" w:rsidRDefault="00F96552" w:rsidP="00C811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6552">
        <w:rPr>
          <w:rFonts w:ascii="Times New Roman" w:eastAsia="SimSun" w:hAnsi="Times New Roman" w:cs="Times New Roman"/>
          <w:sz w:val="24"/>
          <w:szCs w:val="24"/>
        </w:rPr>
        <w:t xml:space="preserve">2. </w:t>
      </w:r>
      <w:r w:rsidRPr="00F96552">
        <w:rPr>
          <w:rFonts w:ascii="Times New Roman" w:eastAsia="SimSun" w:hAnsi="Times New Roman" w:cs="Times New Roman"/>
          <w:sz w:val="24"/>
          <w:szCs w:val="24"/>
        </w:rPr>
        <w:t xml:space="preserve">Baguma, J. &amp; Muhumuza, M. (2023). ‘Urban data governance in Uganda: Lessons from and for newly created cities. </w:t>
      </w:r>
      <w:r w:rsidRPr="00F96552">
        <w:rPr>
          <w:rFonts w:ascii="Times New Roman" w:eastAsia="SimSun" w:hAnsi="Times New Roman" w:cs="Times New Roman"/>
          <w:i/>
          <w:iCs/>
          <w:sz w:val="24"/>
          <w:szCs w:val="24"/>
        </w:rPr>
        <w:t>Open Data Analytics, an initiative of ToroDev and UNIRI, Kampala, Uganda</w:t>
      </w:r>
      <w:r w:rsidRPr="00F96552">
        <w:rPr>
          <w:rFonts w:ascii="Times New Roman" w:eastAsia="SimSun" w:hAnsi="Times New Roman" w:cs="Times New Roman"/>
          <w:sz w:val="24"/>
          <w:szCs w:val="24"/>
        </w:rPr>
        <w:t>:</w:t>
      </w:r>
      <w:r w:rsidR="00B71637">
        <w:rPr>
          <w:rFonts w:ascii="Times New Roman" w:eastAsia="SimSun" w:hAnsi="Times New Roman" w:cs="Times New Roman"/>
          <w:sz w:val="24"/>
          <w:szCs w:val="24"/>
        </w:rPr>
        <w:t xml:space="preserve"> </w:t>
      </w:r>
      <w:hyperlink r:id="rId12" w:history="1">
        <w:r w:rsidR="00B71637" w:rsidRPr="00A21119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https://torodev.co.ug/download/urban-data-governance-in-uganda-lessons-from-and-for-newly-created-cities-report-april-2023/</w:t>
        </w:r>
      </w:hyperlink>
      <w:r w:rsidR="00B71637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3FE7D09C" w14:textId="77777777" w:rsidR="00C81124" w:rsidRDefault="00C81124" w:rsidP="00C811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A3575B" w14:textId="0BF02B46" w:rsidR="00C81124" w:rsidRDefault="00F96552" w:rsidP="00C811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C811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EE043A" w:rsidRPr="00EE04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Ferhati, koudoua, M. Elgohary, A., N. Elghar, A., S. Abdelaal, A., M. Kamel, A., A. Elsayed, M., … E. Habib, M. (2024). Innovative Design Synthesis: AI-Driven Solutions for Sustainable Urban Planning: Development, Evaluation, and Insights. </w:t>
      </w:r>
      <w:r w:rsidR="00EE043A" w:rsidRPr="00EE04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Contemporary Urban Affairs</w:t>
      </w:r>
      <w:r w:rsidR="00EE043A" w:rsidRPr="00EE04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EE043A" w:rsidRPr="00EE04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</w:t>
      </w:r>
      <w:r w:rsidR="00EE043A" w:rsidRPr="00EE04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(1), 177–195. </w:t>
      </w:r>
      <w:hyperlink r:id="rId13" w:history="1">
        <w:r w:rsidR="00EE043A" w:rsidRPr="00A2111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https://doi.org/10.25034/ijcua.2024.v8n1-10</w:t>
        </w:r>
      </w:hyperlink>
    </w:p>
    <w:p w14:paraId="5D9A27CA" w14:textId="77777777" w:rsidR="00C81124" w:rsidRDefault="00C81124" w:rsidP="00C811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2E44A6" w14:textId="27AB0D5A" w:rsidR="004429B1" w:rsidRDefault="00F96552" w:rsidP="00C811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C811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4429B1" w:rsidRPr="004429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Herath, H., &amp; Mittal, M. (2022). Adoption of artificial intelligence in smart cities: A comprehensive</w:t>
      </w:r>
      <w:r w:rsidR="004429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429B1" w:rsidRPr="004429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review. International Journal of Information Management Data Insights, 2(1), 100076.</w:t>
      </w:r>
      <w:r w:rsidR="004429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4" w:history="1">
        <w:r w:rsidR="004429B1" w:rsidRPr="00A2111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https://doi.org/10.1016/j.jjimei.2022.100076</w:t>
        </w:r>
      </w:hyperlink>
      <w:r w:rsidR="004429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1581875" w14:textId="77777777" w:rsidR="0005586D" w:rsidRDefault="0005586D" w:rsidP="00C811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FA7184" w14:textId="7B4BE43C" w:rsidR="0005586D" w:rsidRDefault="00F96552" w:rsidP="000558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055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05586D" w:rsidRPr="00055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Huang, C., Zhang, Z., Mao, B., &amp; Yao, X. (2023). An Overview of Artificial Intelligence</w:t>
      </w:r>
      <w:r w:rsidR="00055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5586D" w:rsidRPr="00055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Ethics. IEEE</w:t>
      </w:r>
      <w:r w:rsidR="00055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5586D" w:rsidRPr="00055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Transactions on Artificial Intelligence, 4(4), 799–819.</w:t>
      </w:r>
      <w:r w:rsidR="00055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5" w:history="1">
        <w:r w:rsidR="00350E12" w:rsidRPr="00A2111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https://doi.org/10.1109/tai.2022.3194503</w:t>
        </w:r>
      </w:hyperlink>
    </w:p>
    <w:p w14:paraId="052BE70A" w14:textId="77777777" w:rsidR="00E45E3A" w:rsidRDefault="00E45E3A" w:rsidP="000558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D47E13" w14:textId="650A5526" w:rsidR="00E45E3A" w:rsidRDefault="00E45E3A" w:rsidP="000558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National Planning Authority – NPA (2020). Uganda Vision 2024: </w:t>
      </w:r>
      <w:hyperlink r:id="rId16" w:history="1">
        <w:r w:rsidRPr="00A2111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https://www.npa.go.ug/vision2040/key-flag-projects.htm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651C3A" w14:textId="77777777" w:rsidR="00350E12" w:rsidRDefault="00350E12" w:rsidP="000558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A968F1" w14:textId="4708B95C" w:rsidR="00943E0A" w:rsidRDefault="001E7DA4" w:rsidP="0007642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CB09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50E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PwC (2024). </w:t>
      </w:r>
      <w:r w:rsidR="00CB5F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Data and AI Driven Urban Planning: </w:t>
      </w:r>
      <w:r w:rsidR="00E939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Charting the New Future of Sound Arabia. </w:t>
      </w:r>
      <w:hyperlink r:id="rId17" w:history="1">
        <w:r w:rsidR="00E939E2" w:rsidRPr="00A2111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https://www.pwc.com/m1/en/publications/documents/2024/data-and-ai-driven-urban-planning.pdf</w:t>
        </w:r>
      </w:hyperlink>
      <w:r w:rsidR="00E939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996E27" w14:textId="7AA27FAB" w:rsidR="00943E0A" w:rsidRPr="0007642B" w:rsidRDefault="00943E0A" w:rsidP="003F680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 World Bank (2023). Uganda Vision 2024. </w:t>
      </w:r>
      <w:hyperlink r:id="rId18" w:history="1">
        <w:r w:rsidRPr="00A2111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https://consultations.worldbank.org/content/dam/sites/consultations/doc/migration/vision20204011.pdf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sectPr w:rsidR="00943E0A" w:rsidRPr="000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F2F"/>
    <w:multiLevelType w:val="hybridMultilevel"/>
    <w:tmpl w:val="89FAB9B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1D8"/>
    <w:multiLevelType w:val="hybridMultilevel"/>
    <w:tmpl w:val="F8102188"/>
    <w:lvl w:ilvl="0" w:tplc="DA9C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A1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2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A2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04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06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C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2B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2C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2256B"/>
    <w:multiLevelType w:val="hybridMultilevel"/>
    <w:tmpl w:val="6B480D60"/>
    <w:lvl w:ilvl="0" w:tplc="61683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C4F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671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E3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E3D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E8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A5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A0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C17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E338BF"/>
    <w:multiLevelType w:val="hybridMultilevel"/>
    <w:tmpl w:val="50183E84"/>
    <w:lvl w:ilvl="0" w:tplc="BDE48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9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88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01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22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8F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2B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E0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08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68DB"/>
    <w:multiLevelType w:val="hybridMultilevel"/>
    <w:tmpl w:val="BEB23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46B0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CF0BED"/>
    <w:multiLevelType w:val="hybridMultilevel"/>
    <w:tmpl w:val="7C16DEF2"/>
    <w:lvl w:ilvl="0" w:tplc="96548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8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A1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05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6C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26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62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4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8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8433A"/>
    <w:multiLevelType w:val="multilevel"/>
    <w:tmpl w:val="A6684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33268D"/>
    <w:multiLevelType w:val="multilevel"/>
    <w:tmpl w:val="F578C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14270C"/>
    <w:multiLevelType w:val="hybridMultilevel"/>
    <w:tmpl w:val="5DE6C8A6"/>
    <w:lvl w:ilvl="0" w:tplc="1FF44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A66F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4E0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0C6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51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E78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C0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2C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45D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A35B6C"/>
    <w:multiLevelType w:val="hybridMultilevel"/>
    <w:tmpl w:val="EEEED19A"/>
    <w:lvl w:ilvl="0" w:tplc="A4C23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29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CA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23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A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0E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0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29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E517B2"/>
    <w:multiLevelType w:val="hybridMultilevel"/>
    <w:tmpl w:val="56789A68"/>
    <w:lvl w:ilvl="0" w:tplc="14AA2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4B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CE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6E3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2E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CB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88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E17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8F003F"/>
    <w:multiLevelType w:val="hybridMultilevel"/>
    <w:tmpl w:val="5C2C6CF4"/>
    <w:lvl w:ilvl="0" w:tplc="4B0C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AD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2D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A3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C1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49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86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AC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0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FE5E10"/>
    <w:multiLevelType w:val="hybridMultilevel"/>
    <w:tmpl w:val="C898F8F6"/>
    <w:lvl w:ilvl="0" w:tplc="9EC42C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091F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C7F5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6FE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C6D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20E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C21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6C3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E73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751AA8"/>
    <w:multiLevelType w:val="hybridMultilevel"/>
    <w:tmpl w:val="CCFED242"/>
    <w:lvl w:ilvl="0" w:tplc="EC90F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2E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2F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EE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40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E6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AA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E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C0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C37521"/>
    <w:multiLevelType w:val="hybridMultilevel"/>
    <w:tmpl w:val="9FC242B8"/>
    <w:lvl w:ilvl="0" w:tplc="20AA70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A23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CC1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692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6E4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246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63D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16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617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8573299">
    <w:abstractNumId w:val="4"/>
  </w:num>
  <w:num w:numId="2" w16cid:durableId="2091847137">
    <w:abstractNumId w:val="10"/>
  </w:num>
  <w:num w:numId="3" w16cid:durableId="1186211436">
    <w:abstractNumId w:val="12"/>
  </w:num>
  <w:num w:numId="4" w16cid:durableId="1158613806">
    <w:abstractNumId w:val="1"/>
  </w:num>
  <w:num w:numId="5" w16cid:durableId="656151118">
    <w:abstractNumId w:val="14"/>
  </w:num>
  <w:num w:numId="6" w16cid:durableId="385685348">
    <w:abstractNumId w:val="11"/>
  </w:num>
  <w:num w:numId="7" w16cid:durableId="27797071">
    <w:abstractNumId w:val="15"/>
  </w:num>
  <w:num w:numId="8" w16cid:durableId="184750618">
    <w:abstractNumId w:val="3"/>
  </w:num>
  <w:num w:numId="9" w16cid:durableId="1033381929">
    <w:abstractNumId w:val="9"/>
  </w:num>
  <w:num w:numId="10" w16cid:durableId="705522790">
    <w:abstractNumId w:val="2"/>
  </w:num>
  <w:num w:numId="11" w16cid:durableId="611517519">
    <w:abstractNumId w:val="13"/>
  </w:num>
  <w:num w:numId="12" w16cid:durableId="1383599721">
    <w:abstractNumId w:val="6"/>
  </w:num>
  <w:num w:numId="13" w16cid:durableId="799885819">
    <w:abstractNumId w:val="8"/>
  </w:num>
  <w:num w:numId="14" w16cid:durableId="1626961959">
    <w:abstractNumId w:val="5"/>
  </w:num>
  <w:num w:numId="15" w16cid:durableId="1605380690">
    <w:abstractNumId w:val="0"/>
  </w:num>
  <w:num w:numId="16" w16cid:durableId="1075711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5B"/>
    <w:rsid w:val="00000985"/>
    <w:rsid w:val="00002338"/>
    <w:rsid w:val="00002726"/>
    <w:rsid w:val="00003932"/>
    <w:rsid w:val="00010DAB"/>
    <w:rsid w:val="00011E5F"/>
    <w:rsid w:val="0002084D"/>
    <w:rsid w:val="00026E21"/>
    <w:rsid w:val="000313F8"/>
    <w:rsid w:val="000403E2"/>
    <w:rsid w:val="000418B2"/>
    <w:rsid w:val="0005294C"/>
    <w:rsid w:val="000547FC"/>
    <w:rsid w:val="0005586D"/>
    <w:rsid w:val="00062C04"/>
    <w:rsid w:val="00066974"/>
    <w:rsid w:val="0007400F"/>
    <w:rsid w:val="0007642B"/>
    <w:rsid w:val="0008706C"/>
    <w:rsid w:val="00090B1A"/>
    <w:rsid w:val="00090D0B"/>
    <w:rsid w:val="000B1501"/>
    <w:rsid w:val="000B1B8E"/>
    <w:rsid w:val="000B7B80"/>
    <w:rsid w:val="000C3180"/>
    <w:rsid w:val="000C6BC7"/>
    <w:rsid w:val="000E2AA3"/>
    <w:rsid w:val="000F140D"/>
    <w:rsid w:val="000F4798"/>
    <w:rsid w:val="000F7832"/>
    <w:rsid w:val="000F7C17"/>
    <w:rsid w:val="00111CD2"/>
    <w:rsid w:val="00126077"/>
    <w:rsid w:val="0012674E"/>
    <w:rsid w:val="001853A6"/>
    <w:rsid w:val="001B7460"/>
    <w:rsid w:val="001C04BC"/>
    <w:rsid w:val="001D483D"/>
    <w:rsid w:val="001E7DA4"/>
    <w:rsid w:val="00200CF9"/>
    <w:rsid w:val="002026BE"/>
    <w:rsid w:val="00204154"/>
    <w:rsid w:val="00207A53"/>
    <w:rsid w:val="002139CB"/>
    <w:rsid w:val="00227DDE"/>
    <w:rsid w:val="002519BB"/>
    <w:rsid w:val="002563DE"/>
    <w:rsid w:val="00262F60"/>
    <w:rsid w:val="0028242C"/>
    <w:rsid w:val="00283B29"/>
    <w:rsid w:val="002E4323"/>
    <w:rsid w:val="00300CE4"/>
    <w:rsid w:val="003062CB"/>
    <w:rsid w:val="00310F07"/>
    <w:rsid w:val="003276AA"/>
    <w:rsid w:val="00346536"/>
    <w:rsid w:val="00350E12"/>
    <w:rsid w:val="003759A9"/>
    <w:rsid w:val="0037753B"/>
    <w:rsid w:val="00381D22"/>
    <w:rsid w:val="0038580F"/>
    <w:rsid w:val="003877AB"/>
    <w:rsid w:val="00395167"/>
    <w:rsid w:val="003A6801"/>
    <w:rsid w:val="003B0E08"/>
    <w:rsid w:val="003B2885"/>
    <w:rsid w:val="003C281F"/>
    <w:rsid w:val="003C2B6C"/>
    <w:rsid w:val="003C6EF1"/>
    <w:rsid w:val="003E596F"/>
    <w:rsid w:val="003E7CDB"/>
    <w:rsid w:val="003F6807"/>
    <w:rsid w:val="004404BF"/>
    <w:rsid w:val="004429B1"/>
    <w:rsid w:val="00460383"/>
    <w:rsid w:val="00473351"/>
    <w:rsid w:val="004923DA"/>
    <w:rsid w:val="004944F0"/>
    <w:rsid w:val="00497B9A"/>
    <w:rsid w:val="004A188A"/>
    <w:rsid w:val="004A3CFF"/>
    <w:rsid w:val="004A5F50"/>
    <w:rsid w:val="004D46A0"/>
    <w:rsid w:val="004F756D"/>
    <w:rsid w:val="005446C5"/>
    <w:rsid w:val="005520CC"/>
    <w:rsid w:val="00561849"/>
    <w:rsid w:val="00582E17"/>
    <w:rsid w:val="005B4ABF"/>
    <w:rsid w:val="005B7896"/>
    <w:rsid w:val="005C755B"/>
    <w:rsid w:val="005E7427"/>
    <w:rsid w:val="005F4B8D"/>
    <w:rsid w:val="00604FFE"/>
    <w:rsid w:val="006127A7"/>
    <w:rsid w:val="00621021"/>
    <w:rsid w:val="006229C5"/>
    <w:rsid w:val="00652095"/>
    <w:rsid w:val="00674B63"/>
    <w:rsid w:val="00676078"/>
    <w:rsid w:val="00683341"/>
    <w:rsid w:val="00694C2B"/>
    <w:rsid w:val="00697227"/>
    <w:rsid w:val="00697B8F"/>
    <w:rsid w:val="006B04E6"/>
    <w:rsid w:val="006B0FD6"/>
    <w:rsid w:val="006C1A5B"/>
    <w:rsid w:val="006D6695"/>
    <w:rsid w:val="006D6B08"/>
    <w:rsid w:val="006E0272"/>
    <w:rsid w:val="00710C7C"/>
    <w:rsid w:val="00737611"/>
    <w:rsid w:val="00762149"/>
    <w:rsid w:val="00764E75"/>
    <w:rsid w:val="00771782"/>
    <w:rsid w:val="00774124"/>
    <w:rsid w:val="00783874"/>
    <w:rsid w:val="007853C9"/>
    <w:rsid w:val="007A6BA3"/>
    <w:rsid w:val="007B3758"/>
    <w:rsid w:val="007D0B52"/>
    <w:rsid w:val="007D0C58"/>
    <w:rsid w:val="00803735"/>
    <w:rsid w:val="00805BC6"/>
    <w:rsid w:val="00815832"/>
    <w:rsid w:val="00815FAD"/>
    <w:rsid w:val="008164AA"/>
    <w:rsid w:val="00823EC8"/>
    <w:rsid w:val="00851BD7"/>
    <w:rsid w:val="00851CCD"/>
    <w:rsid w:val="008713D6"/>
    <w:rsid w:val="0087699C"/>
    <w:rsid w:val="008A5A51"/>
    <w:rsid w:val="008D5E9A"/>
    <w:rsid w:val="00923B48"/>
    <w:rsid w:val="00943E0A"/>
    <w:rsid w:val="0097108A"/>
    <w:rsid w:val="009815E0"/>
    <w:rsid w:val="0098748F"/>
    <w:rsid w:val="0099132C"/>
    <w:rsid w:val="009A1E21"/>
    <w:rsid w:val="009A236B"/>
    <w:rsid w:val="009C5C52"/>
    <w:rsid w:val="009D173F"/>
    <w:rsid w:val="009D1EB8"/>
    <w:rsid w:val="009D512E"/>
    <w:rsid w:val="009E2CB1"/>
    <w:rsid w:val="009E2D60"/>
    <w:rsid w:val="009F0CCF"/>
    <w:rsid w:val="009F7FFC"/>
    <w:rsid w:val="00A263D3"/>
    <w:rsid w:val="00A27760"/>
    <w:rsid w:val="00A30578"/>
    <w:rsid w:val="00A413DE"/>
    <w:rsid w:val="00A42E19"/>
    <w:rsid w:val="00A52432"/>
    <w:rsid w:val="00A62AA5"/>
    <w:rsid w:val="00A9741B"/>
    <w:rsid w:val="00AA640A"/>
    <w:rsid w:val="00AB721C"/>
    <w:rsid w:val="00AC60DF"/>
    <w:rsid w:val="00AD5291"/>
    <w:rsid w:val="00AE708F"/>
    <w:rsid w:val="00AF545B"/>
    <w:rsid w:val="00B263AB"/>
    <w:rsid w:val="00B422AB"/>
    <w:rsid w:val="00B51D43"/>
    <w:rsid w:val="00B71637"/>
    <w:rsid w:val="00B85A1D"/>
    <w:rsid w:val="00B92F60"/>
    <w:rsid w:val="00B93C96"/>
    <w:rsid w:val="00B95728"/>
    <w:rsid w:val="00B97DDD"/>
    <w:rsid w:val="00BA4448"/>
    <w:rsid w:val="00BC1EF4"/>
    <w:rsid w:val="00BE41A2"/>
    <w:rsid w:val="00BF5DE4"/>
    <w:rsid w:val="00C04AF9"/>
    <w:rsid w:val="00C07A38"/>
    <w:rsid w:val="00C153BF"/>
    <w:rsid w:val="00C32B06"/>
    <w:rsid w:val="00C60E2A"/>
    <w:rsid w:val="00C70402"/>
    <w:rsid w:val="00C81124"/>
    <w:rsid w:val="00C94B7B"/>
    <w:rsid w:val="00CA3239"/>
    <w:rsid w:val="00CA3B1F"/>
    <w:rsid w:val="00CA44E7"/>
    <w:rsid w:val="00CB09C0"/>
    <w:rsid w:val="00CB5F9F"/>
    <w:rsid w:val="00CC1ADF"/>
    <w:rsid w:val="00CD52EE"/>
    <w:rsid w:val="00CE388F"/>
    <w:rsid w:val="00CF3060"/>
    <w:rsid w:val="00D053B3"/>
    <w:rsid w:val="00D51F15"/>
    <w:rsid w:val="00D809CE"/>
    <w:rsid w:val="00D84E97"/>
    <w:rsid w:val="00DA394D"/>
    <w:rsid w:val="00DB359D"/>
    <w:rsid w:val="00DC232D"/>
    <w:rsid w:val="00DE127A"/>
    <w:rsid w:val="00DE4CD6"/>
    <w:rsid w:val="00DF165A"/>
    <w:rsid w:val="00E04810"/>
    <w:rsid w:val="00E34547"/>
    <w:rsid w:val="00E37A6C"/>
    <w:rsid w:val="00E453C1"/>
    <w:rsid w:val="00E45E3A"/>
    <w:rsid w:val="00E47200"/>
    <w:rsid w:val="00E47B43"/>
    <w:rsid w:val="00E67892"/>
    <w:rsid w:val="00E75439"/>
    <w:rsid w:val="00E939E2"/>
    <w:rsid w:val="00E963C1"/>
    <w:rsid w:val="00EA5A99"/>
    <w:rsid w:val="00EB1AFF"/>
    <w:rsid w:val="00EB4531"/>
    <w:rsid w:val="00EC475E"/>
    <w:rsid w:val="00EE043A"/>
    <w:rsid w:val="00EF154F"/>
    <w:rsid w:val="00EF3F24"/>
    <w:rsid w:val="00EF5DE7"/>
    <w:rsid w:val="00F0276D"/>
    <w:rsid w:val="00F25816"/>
    <w:rsid w:val="00F305A8"/>
    <w:rsid w:val="00F365BA"/>
    <w:rsid w:val="00F36F8C"/>
    <w:rsid w:val="00F41BCE"/>
    <w:rsid w:val="00F46EE5"/>
    <w:rsid w:val="00F50F73"/>
    <w:rsid w:val="00F70A24"/>
    <w:rsid w:val="00F96552"/>
    <w:rsid w:val="00FA142B"/>
    <w:rsid w:val="00FA2AEE"/>
    <w:rsid w:val="00FB7AA7"/>
    <w:rsid w:val="00FC7956"/>
    <w:rsid w:val="00FD6A29"/>
    <w:rsid w:val="00FE146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B78E"/>
  <w15:chartTrackingRefBased/>
  <w15:docId w15:val="{64370235-3984-4073-93A3-7C643BEE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36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03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3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3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42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5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350">
          <w:marLeft w:val="139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11">
          <w:marLeft w:val="139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7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0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689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910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49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673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320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576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wlett.org" TargetMode="External"/><Relationship Id="rId13" Type="http://schemas.openxmlformats.org/officeDocument/2006/relationships/hyperlink" Target="https://doi.org/10.25034/ijcua.2024.v8n1-10" TargetMode="External"/><Relationship Id="rId18" Type="http://schemas.openxmlformats.org/officeDocument/2006/relationships/hyperlink" Target="https://consultations.worldbank.org/content/dam/sites/consultations/doc/migration/vision202040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lobalpulse.org/un-global-pulse/" TargetMode="External"/><Relationship Id="rId12" Type="http://schemas.openxmlformats.org/officeDocument/2006/relationships/hyperlink" Target="https://torodev.co.ug/download/urban-data-governance-in-uganda-lessons-from-and-for-newly-created-cities-report-april-2023/" TargetMode="External"/><Relationship Id="rId17" Type="http://schemas.openxmlformats.org/officeDocument/2006/relationships/hyperlink" Target="https://www.pwc.com/m1/en/publications/documents/2024/data-and-ai-driven-urban-plann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pa.go.ug/vision2040/key-flag-projects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unbird.ai" TargetMode="External"/><Relationship Id="rId11" Type="http://schemas.openxmlformats.org/officeDocument/2006/relationships/hyperlink" Target="https://doi.org/10.13189/cea.2024.120336" TargetMode="External"/><Relationship Id="rId5" Type="http://schemas.openxmlformats.org/officeDocument/2006/relationships/hyperlink" Target="https://www.datacities.ug" TargetMode="External"/><Relationship Id="rId15" Type="http://schemas.openxmlformats.org/officeDocument/2006/relationships/hyperlink" Target="https://doi.org/10.1109/tai.2022.3194503" TargetMode="External"/><Relationship Id="rId10" Type="http://schemas.openxmlformats.org/officeDocument/2006/relationships/hyperlink" Target="https://www.opencitieslab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endata-analytics.org" TargetMode="External"/><Relationship Id="rId14" Type="http://schemas.openxmlformats.org/officeDocument/2006/relationships/hyperlink" Target="https://doi.org/10.1016/j.jjimei.2022.100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7411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PRO</dc:creator>
  <cp:keywords/>
  <dc:description/>
  <cp:lastModifiedBy>Jo Ba</cp:lastModifiedBy>
  <cp:revision>267</cp:revision>
  <dcterms:created xsi:type="dcterms:W3CDTF">2024-12-31T14:51:00Z</dcterms:created>
  <dcterms:modified xsi:type="dcterms:W3CDTF">2025-01-06T08:04:00Z</dcterms:modified>
</cp:coreProperties>
</file>